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54D" w:rsidRDefault="004A654D" w:rsidP="005D604C">
      <w:pPr>
        <w:spacing w:before="100" w:beforeAutospacing="1" w:after="100" w:afterAutospacing="1" w:line="240" w:lineRule="auto"/>
        <w:jc w:val="both"/>
      </w:pPr>
      <w:r>
        <w:t>Centrum Rozwoju Biznesu – odpowiedź na najważniejsze wyzwania branży spożywczej</w:t>
      </w:r>
    </w:p>
    <w:p w:rsidR="004A654D" w:rsidRDefault="004A654D" w:rsidP="005D604C">
      <w:pPr>
        <w:spacing w:before="100" w:beforeAutospacing="1" w:after="100" w:afterAutospacing="1" w:line="240" w:lineRule="auto"/>
        <w:jc w:val="both"/>
      </w:pP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t>Branża spożywcza od lat należy do najbardziej wymagających sektorów gospodarki. Z jednej strony odpowiada za zaspokajanie podstawowych potrzeb milionów konsumentów, z drugiej funkcjonuje pod nieustanną presją rosnących kosztów, zmieniających się regulacji, niedoboru pracowników oraz coraz większych oczekiwań rynku. Dziś jednak przewagę konkurencyjną buduje się już nie wyłącznie jakością produktu czy wydajnością linii produkcyjnej. Coraz częściej decyduje o niej sposób zarządzania przedsiębiorstwem.</w:t>
      </w: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t>Współczesne firmy spożywcze stają przed wyzwaniami, które jeszcze kilka lat temu nie były postrzegane jako strategiczne. Digitalizacja procesów, bezpieczeństwo danych, optymalizacja kosztów energii, sukcesja przedsiębiorstw rodzinnych czy skuteczne zarządzanie kapitałem ludzkim przestały być tematami zarezerwowanymi dla największych organizacji. Stały się elementem codziennego funkcjonowania całej branży.</w:t>
      </w: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t>Dobrym przykładem jest obszar produkcji. W wielu zakładach potencjał wzrostu nie leży już w zakupie kolejnych maszyn, lecz w lepszym wykorzystaniu tych, które już pracują. Analiza danych produkcyjnych, eliminacja wąskich gardeł, ograniczenie strat surowców czy poprawa planowania procesów pozwalają zwiększać efektywność bez konieczności ponoszenia wielomilionowych inwestycji. W praktyce często okazuje się, że kilka procent poprawy wydajności przekłada się na znacznie większe oszczędności niż kosztowne rozbudowy parków maszynowych.</w:t>
      </w: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t>Jednocześnie coraz więcej przedsiębiorstw odkrywa potencjał sztucznej inteligencji. Jeszcze niedawno AI kojarzyła się przede wszystkim z futurystycznymi rozwiązaniami. Dziś znajduje zastosowanie w prognozowaniu popytu, analizie sprzedaży, planowaniu produkcji, kontroli jakości czy automatyzacji procesów administracyjnych. To technologia, która nie zastępuje ludzi, lecz pozwala podejmować szybsze i trafniejsze decyzje w oparciu o dane. W warunkach rosnącej zmienności rynku właśnie szybkość reakcji staje się jedną z najcenniejszych kompetencji przedsiębiorstwa.</w:t>
      </w: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t>Technologia nie rozwiąże jednak problemów związanych z personelem. Rynek pracy od kilku lat pozostaje jednym z największych wyzwań dla producentów żywności. Trudności z pozyskaniem wykwalifikowanych pracowników, rosnące koszty zatrudnienia czy wysoka rotacja sprawiają, że przedsiębiorcy coraz częściej poszukują nowych modeli zarządzania zasobami ludzkimi. Oprócz skutecznej rekrutacji znaczenia nabierają działania związane z rozwojem kompetencji zespołów, budowaniem zaangażowania pracowników oraz elastycznymi formami zarządzania, w tym wykorzystaniem menedżerów interim, którzy wspierają firmy w okresach zmian, restrukturyzacji czy dynamicznego wzrostu.</w:t>
      </w: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t>Zmiany dotyczą również właścicieli przedsiębiorstw. Wiele polskich firm spożywczych powstało jako biznesy rodzinne budowane przez pierwsze pokolenie przedsiębiorców. Dziś coraz częściej pojawia się pytanie nie o to, jak rozwijać firmę, lecz jak zapewnić jej stabilność w perspektywie kolejnych dekad. Sukcesja przestaje być odległym planem, a staje się jednym z kluczowych elementów strategii. Dobrze przygotowany proces pozwala zachować ciągłość zarządzania, zabezpieczyć majątek przedsiębiorstwa i ograniczyć ryzyko konfliktów organizacyjnych.</w:t>
      </w: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t>Nie mniej istotnym wyzwaniem pozostają finanse. Dynamiczne zmiany gospodarcze powodują, że przedsiębiorcy coraz uważniej analizują możliwości finansowania inwestycji. Środki z programów krajowych i europejskich mogą wspierać modernizację zakładów, wdrażanie nowych technologii czy działania związane z transformacją energetyczną. Kluczowe staje się jednak nie tylko znalezienie odpowiedniego programu, ale również skuteczne przeprowadzenie całego procesu aplikacyjnego.</w:t>
      </w: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t>Transformacja energetyczna z kolei nie jest już wyłącznie odpowiedzią na rosnące ceny energii. Dla wielu przedsiębiorstw staje się elementem budowania odporności biznesowej. Optymalizacja zużycia energii, inwestycje w efektywność energetyczną czy nowe modele zarządzania mediami pozwalają ograniczać koszty operacyjne i zwiększać przewidywalność funkcjonowania zakładów produkcyjnych. W realiach coraz większej konkurencji nawet niewielkie oszczędności uzyskane w tym obszarze mogą mieć istotny wpływ na rentowność całego przedsiębiorstwa.</w:t>
      </w: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lastRenderedPageBreak/>
        <w:t>Zmienia się również sposób prowadzenia sprzedaży i komunikacji z rynkiem. Nawet firmy działające od wielu lat coraz częściej inwestują w nowoczesny marketing, budowanie marki czy rozwój kanałów cyfrowych. W świecie, w którym decyzje zakupowe coraz częściej podejmowane są na podstawie informacji dostępnych online, profesjonalna komunikacja staje się ważnym elementem strategii biznesowej, także w relacjach B2B.</w:t>
      </w: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t>Nad wszystkimi tymi procesami znajduje się jeszcze jeden wymiar — bezpieczeństwo prawne. Rosnąca liczba regulacji, nowe obowiązki związane z raportowaniem, ochroną danych, prawem pracy czy umowami handlowymi sprawiają, że bieżące wsparcie prawne staje się nie tyle komfortem, ile koniecznością. Dobrze przygotowane przedsiębiorstwo ogranicza ryzyko sporów i może szybciej reagować na zmieniające się otoczenie regulacyjne.</w:t>
      </w:r>
    </w:p>
    <w:p w:rsidR="005D604C" w:rsidRPr="005D604C" w:rsidRDefault="005D604C" w:rsidP="005D604C">
      <w:pPr>
        <w:spacing w:before="100" w:beforeAutospacing="1" w:after="100" w:afterAutospacing="1" w:line="240" w:lineRule="auto"/>
        <w:jc w:val="both"/>
        <w:rPr>
          <w:rFonts w:eastAsia="Times New Roman" w:cstheme="minorHAnsi"/>
          <w:sz w:val="20"/>
          <w:szCs w:val="20"/>
          <w:lang w:eastAsia="pl-PL"/>
        </w:rPr>
      </w:pPr>
      <w:r w:rsidRPr="005D604C">
        <w:rPr>
          <w:rFonts w:eastAsia="Times New Roman" w:cstheme="minorHAnsi"/>
          <w:sz w:val="20"/>
          <w:szCs w:val="20"/>
          <w:lang w:eastAsia="pl-PL"/>
        </w:rPr>
        <w:t>Choć każde z tych wyzwań dotyczy innego obszaru działalności, wszystkie prowadzą do jednego wniosku. Współczesna konkurencyjność przedsiębiorstw spożywczych nie opiera się już wyłącznie na jakości produktu czy możliwościach produkcyjnych. Coraz większą rolę odgrywa sprawność organizacyjna, umiejętność korzystania z wiedzy ekspertów oraz szybkie wdrażanie rozwiązań odpowiadających na aktualne potrzeby biznesu.</w:t>
      </w:r>
    </w:p>
    <w:p w:rsidR="005D604C" w:rsidRPr="004A654D" w:rsidRDefault="004A654D" w:rsidP="005D604C">
      <w:pPr>
        <w:spacing w:before="100" w:beforeAutospacing="1" w:after="100" w:afterAutospacing="1" w:line="240" w:lineRule="auto"/>
        <w:jc w:val="both"/>
        <w:rPr>
          <w:rFonts w:eastAsia="Times New Roman" w:cstheme="minorHAnsi"/>
          <w:sz w:val="20"/>
          <w:szCs w:val="20"/>
          <w:lang w:eastAsia="pl-PL"/>
        </w:rPr>
      </w:pPr>
      <w:r w:rsidRPr="004A654D">
        <w:rPr>
          <w:sz w:val="20"/>
          <w:szCs w:val="20"/>
        </w:rPr>
        <w:t xml:space="preserve">Odpowiedzią na te wyzwania będzie tegoroczna edycja Centrum Rozwoju Biznesu podczas POLAGRY – cenionej przez uczestników przestrzeni, która ponownie zgromadzi ekspertów i partnerów wspierających rozwój przedsiębiorstw. Centrum Rozwoju Biznesu to miejsce dedykowane przedsiębiorcom poszukującym praktycznych rozwiązań w zakresie transformacji organizacyjnej, zwiększania efektywności oraz budowania długofalowej przewagi konkurencyjnej. Swoją ofertę zaprezentują firmy reprezentujące obszary związane m.in. z transformacją cyfrową i sztuczną inteligencją, zarządzaniem zasobami ludzkimi, rozwojem organizacji, finansowaniem inwestycji, optymalizacją procesów produkcyjnych i energetycznych, marketingiem oraz wsparciem prawnym dla biznesu. </w:t>
      </w:r>
      <w:bookmarkStart w:id="0" w:name="_GoBack"/>
      <w:bookmarkEnd w:id="0"/>
    </w:p>
    <w:p w:rsidR="005D604C" w:rsidRPr="004A654D" w:rsidRDefault="005D604C" w:rsidP="005D604C">
      <w:pPr>
        <w:spacing w:before="100" w:beforeAutospacing="1" w:after="100" w:afterAutospacing="1" w:line="240" w:lineRule="auto"/>
        <w:jc w:val="both"/>
        <w:rPr>
          <w:rFonts w:eastAsia="Times New Roman" w:cstheme="minorHAnsi"/>
          <w:sz w:val="20"/>
          <w:szCs w:val="20"/>
          <w:lang w:eastAsia="pl-PL"/>
        </w:rPr>
      </w:pPr>
      <w:r w:rsidRPr="004A654D">
        <w:rPr>
          <w:rFonts w:eastAsia="Times New Roman" w:cstheme="minorHAnsi"/>
          <w:sz w:val="20"/>
          <w:szCs w:val="20"/>
          <w:lang w:eastAsia="pl-PL"/>
        </w:rPr>
        <w:t>W świecie, w którym przewagę buduje się szybciej niż kiedykolwiek wcześniej, dostęp do wiedzy i sprawdzonych partnerów biznesowych staje się równie cenny jak dostęp do nowych technologii. POLAGRA od lat pozostaje miejscem, gdzie spotykają się producenci, dostawcy i eksperci, a Centrum Rozwoju Biznesu będzie naturalnym uzupełnieniem tej idei — przestrzenią, w której rozmowy o przyszłości branży przekładają się na konkretne decyzje i realne zmiany w przedsiębiorstwach.</w:t>
      </w:r>
    </w:p>
    <w:p w:rsidR="0056413B" w:rsidRPr="005D604C" w:rsidRDefault="00455F9F">
      <w:pPr>
        <w:rPr>
          <w:rFonts w:cstheme="minorHAnsi"/>
          <w:sz w:val="20"/>
          <w:szCs w:val="20"/>
        </w:rPr>
      </w:pPr>
    </w:p>
    <w:sectPr w:rsidR="0056413B" w:rsidRPr="005D60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54D" w:rsidRDefault="004A654D" w:rsidP="004A654D">
      <w:pPr>
        <w:spacing w:after="0" w:line="240" w:lineRule="auto"/>
      </w:pPr>
      <w:r>
        <w:separator/>
      </w:r>
    </w:p>
  </w:endnote>
  <w:endnote w:type="continuationSeparator" w:id="0">
    <w:p w:rsidR="004A654D" w:rsidRDefault="004A654D" w:rsidP="004A6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54D" w:rsidRDefault="004A654D" w:rsidP="004A654D">
      <w:pPr>
        <w:spacing w:after="0" w:line="240" w:lineRule="auto"/>
      </w:pPr>
      <w:r>
        <w:separator/>
      </w:r>
    </w:p>
  </w:footnote>
  <w:footnote w:type="continuationSeparator" w:id="0">
    <w:p w:rsidR="004A654D" w:rsidRDefault="004A654D" w:rsidP="004A65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4C"/>
    <w:rsid w:val="00455F9F"/>
    <w:rsid w:val="004A654D"/>
    <w:rsid w:val="005D604C"/>
    <w:rsid w:val="00B70226"/>
    <w:rsid w:val="00DF17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4A7F9"/>
  <w15:chartTrackingRefBased/>
  <w15:docId w15:val="{1AB5F94C-8D36-481F-8E6E-599C315A5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5D60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D604C"/>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5D604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D604C"/>
    <w:rPr>
      <w:b/>
      <w:bCs/>
    </w:rPr>
  </w:style>
  <w:style w:type="paragraph" w:styleId="Nagwek">
    <w:name w:val="header"/>
    <w:basedOn w:val="Normalny"/>
    <w:link w:val="NagwekZnak"/>
    <w:uiPriority w:val="99"/>
    <w:unhideWhenUsed/>
    <w:rsid w:val="004A65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54D"/>
  </w:style>
  <w:style w:type="paragraph" w:styleId="Stopka">
    <w:name w:val="footer"/>
    <w:basedOn w:val="Normalny"/>
    <w:link w:val="StopkaZnak"/>
    <w:uiPriority w:val="99"/>
    <w:unhideWhenUsed/>
    <w:rsid w:val="004A65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3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2</Pages>
  <Words>967</Words>
  <Characters>5807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Dudziak</dc:creator>
  <cp:keywords/>
  <dc:description/>
  <cp:lastModifiedBy>Emanuela Dudziak</cp:lastModifiedBy>
  <cp:revision>3</cp:revision>
  <dcterms:created xsi:type="dcterms:W3CDTF">2026-07-08T08:48:00Z</dcterms:created>
  <dcterms:modified xsi:type="dcterms:W3CDTF">2026-07-13T13:31:00Z</dcterms:modified>
</cp:coreProperties>
</file>